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9"/>
        <w:gridCol w:w="4779"/>
      </w:tblGrid>
      <w:tr w:rsidR="00350287" w:rsidRPr="00350287" w:rsidTr="003A329B">
        <w:trPr>
          <w:trHeight w:val="736"/>
          <w:tblHeader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tcMar>
              <w:top w:w="144" w:type="dxa"/>
              <w:left w:w="108" w:type="dxa"/>
              <w:bottom w:w="144" w:type="dxa"/>
              <w:right w:w="108" w:type="dxa"/>
            </w:tcMar>
            <w:hideMark/>
          </w:tcPr>
          <w:p w:rsidR="00350287" w:rsidRPr="00350287" w:rsidRDefault="00350287" w:rsidP="00350287">
            <w:pPr>
              <w:spacing w:before="240" w:after="240" w:line="240" w:lineRule="auto"/>
              <w:jc w:val="center"/>
              <w:rPr>
                <w:rFonts w:eastAsia="Times New Roman"/>
                <w:szCs w:val="24"/>
              </w:rPr>
            </w:pPr>
            <w:bookmarkStart w:id="0" w:name="_GoBack"/>
            <w:bookmarkEnd w:id="0"/>
            <w:r>
              <w:rPr>
                <w:rFonts w:eastAsia="MS Mincho"/>
                <w:b/>
                <w:bCs/>
                <w:kern w:val="24"/>
                <w:szCs w:val="24"/>
              </w:rPr>
              <w:t>Less emphasis on</w:t>
            </w:r>
            <w:r w:rsidRPr="00350287">
              <w:rPr>
                <w:rFonts w:eastAsia="MS Mincho"/>
                <w:b/>
                <w:bCs/>
                <w:kern w:val="24"/>
                <w:szCs w:val="24"/>
              </w:rPr>
              <w:t>:</w:t>
            </w: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tcMar>
              <w:top w:w="144" w:type="dxa"/>
              <w:left w:w="108" w:type="dxa"/>
              <w:bottom w:w="144" w:type="dxa"/>
              <w:right w:w="108" w:type="dxa"/>
            </w:tcMar>
            <w:hideMark/>
          </w:tcPr>
          <w:p w:rsidR="00350287" w:rsidRPr="00350287" w:rsidRDefault="00350287" w:rsidP="00350287">
            <w:pPr>
              <w:spacing w:before="240" w:after="240" w:line="240" w:lineRule="auto"/>
              <w:jc w:val="center"/>
              <w:rPr>
                <w:rFonts w:eastAsia="Times New Roman"/>
                <w:szCs w:val="24"/>
              </w:rPr>
            </w:pPr>
            <w:r>
              <w:rPr>
                <w:rFonts w:eastAsia="MS Mincho"/>
                <w:b/>
                <w:bCs/>
                <w:kern w:val="24"/>
                <w:szCs w:val="24"/>
              </w:rPr>
              <w:t>More emphasis on:</w:t>
            </w:r>
          </w:p>
        </w:tc>
      </w:tr>
      <w:tr w:rsidR="00FD4CDE" w:rsidRPr="00350287" w:rsidTr="00E27455">
        <w:trPr>
          <w:trHeight w:val="1002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FD4CDE" w:rsidRPr="00FD4CDE" w:rsidRDefault="00FD4CDE" w:rsidP="007C0046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FD4CDE" w:rsidRPr="00FD4CDE" w:rsidRDefault="00FD4CDE" w:rsidP="007C0046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FD4CDE" w:rsidRPr="00FD4CDE" w:rsidRDefault="00FD4CDE" w:rsidP="00E27455">
            <w:pPr>
              <w:rPr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FD4CDE" w:rsidRPr="00B0456E" w:rsidRDefault="00FD4CDE" w:rsidP="00CF3D66">
            <w:pPr>
              <w:tabs>
                <w:tab w:val="num" w:pos="488"/>
              </w:tabs>
              <w:kinsoku w:val="0"/>
              <w:overflowPunct w:val="0"/>
              <w:textAlignment w:val="baseline"/>
              <w:rPr>
                <w:rFonts w:eastAsia="Times New Roman"/>
                <w:sz w:val="20"/>
                <w:szCs w:val="20"/>
                <w:u w:val="single"/>
              </w:rPr>
            </w:pPr>
            <w:r w:rsidRPr="00B0456E">
              <w:rPr>
                <w:rFonts w:eastAsia="Geneva"/>
                <w:b/>
                <w:bCs/>
                <w:sz w:val="20"/>
                <w:szCs w:val="20"/>
                <w:u w:val="single"/>
              </w:rPr>
              <w:t>Standards for Mathematical Practice</w:t>
            </w:r>
          </w:p>
          <w:p w:rsidR="00FD4CDE" w:rsidRPr="00B0456E" w:rsidRDefault="00FD4CDE" w:rsidP="00FD4CDE">
            <w:pPr>
              <w:pStyle w:val="ListParagraph"/>
              <w:numPr>
                <w:ilvl w:val="2"/>
                <w:numId w:val="7"/>
              </w:numPr>
              <w:tabs>
                <w:tab w:val="num" w:pos="488"/>
              </w:tabs>
              <w:kinsoku w:val="0"/>
              <w:overflowPunct w:val="0"/>
              <w:ind w:left="360"/>
              <w:contextualSpacing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0456E">
              <w:rPr>
                <w:rFonts w:ascii="Tahoma" w:eastAsia="Geneva" w:hAnsi="Tahoma" w:cs="Tahoma"/>
                <w:sz w:val="20"/>
                <w:szCs w:val="20"/>
              </w:rPr>
              <w:t xml:space="preserve">Describe mathematical “habits of mind” </w:t>
            </w:r>
          </w:p>
          <w:p w:rsidR="00FD4CDE" w:rsidRPr="00B0456E" w:rsidRDefault="00FD4CDE" w:rsidP="00FD4CDE">
            <w:pPr>
              <w:pStyle w:val="ListParagraph"/>
              <w:numPr>
                <w:ilvl w:val="2"/>
                <w:numId w:val="7"/>
              </w:numPr>
              <w:tabs>
                <w:tab w:val="num" w:pos="488"/>
              </w:tabs>
              <w:kinsoku w:val="0"/>
              <w:overflowPunct w:val="0"/>
              <w:ind w:left="360"/>
              <w:contextualSpacing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0456E">
              <w:rPr>
                <w:rFonts w:ascii="Tahoma" w:eastAsia="Geneva" w:hAnsi="Tahoma" w:cs="Tahoma"/>
                <w:sz w:val="20"/>
                <w:szCs w:val="20"/>
              </w:rPr>
              <w:t xml:space="preserve">Standards for mathematical proficiency: reasoning, problem solving, modeling, decision making, and engagement </w:t>
            </w:r>
          </w:p>
          <w:p w:rsidR="00FD4CDE" w:rsidRPr="00B0456E" w:rsidRDefault="00FD4CDE" w:rsidP="00FD4CDE">
            <w:pPr>
              <w:pStyle w:val="ListParagraph"/>
              <w:numPr>
                <w:ilvl w:val="2"/>
                <w:numId w:val="7"/>
              </w:numPr>
              <w:tabs>
                <w:tab w:val="num" w:pos="488"/>
              </w:tabs>
              <w:kinsoku w:val="0"/>
              <w:overflowPunct w:val="0"/>
              <w:ind w:left="360"/>
              <w:contextualSpacing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0456E">
              <w:rPr>
                <w:rFonts w:ascii="Tahoma" w:eastAsia="Geneva" w:hAnsi="Tahoma" w:cs="Tahoma"/>
                <w:sz w:val="20"/>
                <w:szCs w:val="20"/>
              </w:rPr>
              <w:t>Connect with content standards in each grade</w:t>
            </w:r>
          </w:p>
          <w:p w:rsidR="00FD4CDE" w:rsidRPr="00B0456E" w:rsidRDefault="00FD4CDE" w:rsidP="00CF3D66">
            <w:pPr>
              <w:tabs>
                <w:tab w:val="num" w:pos="488"/>
              </w:tabs>
              <w:autoSpaceDE w:val="0"/>
              <w:autoSpaceDN w:val="0"/>
              <w:adjustRightInd w:val="0"/>
              <w:ind w:left="398"/>
              <w:rPr>
                <w:b/>
                <w:sz w:val="20"/>
                <w:szCs w:val="20"/>
                <w:u w:val="single"/>
              </w:rPr>
            </w:pPr>
          </w:p>
        </w:tc>
      </w:tr>
      <w:tr w:rsidR="00D57223" w:rsidRPr="00350287" w:rsidTr="00E27455">
        <w:trPr>
          <w:trHeight w:val="1002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D57223" w:rsidRPr="00FD4CDE" w:rsidRDefault="00D57223" w:rsidP="00FD4CDE">
            <w:pPr>
              <w:rPr>
                <w:b/>
                <w:sz w:val="20"/>
                <w:szCs w:val="20"/>
                <w:u w:val="single"/>
              </w:rPr>
            </w:pPr>
            <w:r w:rsidRPr="00FD4CDE">
              <w:rPr>
                <w:b/>
                <w:sz w:val="20"/>
                <w:szCs w:val="20"/>
                <w:u w:val="single"/>
              </w:rPr>
              <w:t>Numbers and Operations</w:t>
            </w:r>
          </w:p>
          <w:p w:rsidR="00D57223" w:rsidRPr="00FD4CDE" w:rsidRDefault="00D57223" w:rsidP="00D57223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FD4CDE">
              <w:rPr>
                <w:rFonts w:ascii="Tahoma" w:hAnsi="Tahoma" w:cs="Tahoma"/>
                <w:sz w:val="20"/>
                <w:szCs w:val="20"/>
              </w:rPr>
              <w:t>Ordering quantities from least to greatest or greatest to least.</w:t>
            </w:r>
          </w:p>
          <w:p w:rsidR="00D57223" w:rsidRPr="00FD4CDE" w:rsidRDefault="00D57223" w:rsidP="00D57223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FD4CDE">
              <w:rPr>
                <w:rFonts w:ascii="Tahoma" w:hAnsi="Tahoma" w:cs="Tahoma"/>
                <w:sz w:val="20"/>
                <w:szCs w:val="20"/>
              </w:rPr>
              <w:t>While money is used for counting, addition and subtraction, identification of coins and counting money is not emphasized.</w:t>
            </w:r>
          </w:p>
          <w:p w:rsidR="00D57223" w:rsidRPr="00FD4CDE" w:rsidRDefault="00D57223" w:rsidP="00D57223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D57223" w:rsidRPr="00FD4CDE" w:rsidRDefault="00D57223" w:rsidP="00D57223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D57223" w:rsidRPr="00FD4CDE" w:rsidRDefault="00D57223" w:rsidP="007C0046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D57223" w:rsidRPr="00FD4CDE" w:rsidRDefault="00D57223" w:rsidP="00FD4CDE">
            <w:pPr>
              <w:rPr>
                <w:b/>
                <w:sz w:val="20"/>
                <w:szCs w:val="20"/>
                <w:u w:val="single"/>
              </w:rPr>
            </w:pPr>
            <w:r w:rsidRPr="00FD4CDE">
              <w:rPr>
                <w:b/>
                <w:sz w:val="20"/>
                <w:szCs w:val="20"/>
                <w:u w:val="single"/>
              </w:rPr>
              <w:t>Numbers and Operations</w:t>
            </w:r>
          </w:p>
          <w:p w:rsidR="00D57223" w:rsidRPr="00FD4CDE" w:rsidRDefault="00D57223" w:rsidP="00D57223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FD4CDE">
              <w:rPr>
                <w:rFonts w:ascii="Tahoma" w:hAnsi="Tahoma" w:cs="Tahoma"/>
                <w:sz w:val="20"/>
                <w:szCs w:val="20"/>
              </w:rPr>
              <w:t>Understanding number, not just rote counting.</w:t>
            </w:r>
          </w:p>
          <w:p w:rsidR="00D57223" w:rsidRPr="00FD4CDE" w:rsidRDefault="00D57223" w:rsidP="00D57223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FD4CDE">
              <w:rPr>
                <w:rFonts w:ascii="Tahoma" w:hAnsi="Tahoma" w:cs="Tahoma"/>
                <w:sz w:val="20"/>
                <w:szCs w:val="20"/>
              </w:rPr>
              <w:t>Counting beginning with any number, not just 1.</w:t>
            </w:r>
          </w:p>
          <w:p w:rsidR="00D57223" w:rsidRPr="00FD4CDE" w:rsidRDefault="00D57223" w:rsidP="00D57223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FD4CDE">
              <w:rPr>
                <w:rFonts w:ascii="Tahoma" w:hAnsi="Tahoma" w:cs="Tahoma"/>
                <w:sz w:val="20"/>
                <w:szCs w:val="20"/>
              </w:rPr>
              <w:t>Counting for a purpose, e.g., to answer “how many?” questions.</w:t>
            </w:r>
          </w:p>
          <w:p w:rsidR="00D57223" w:rsidRPr="00FD4CDE" w:rsidRDefault="00D57223" w:rsidP="00D57223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FD4CDE">
              <w:rPr>
                <w:rFonts w:ascii="Tahoma" w:hAnsi="Tahoma" w:cs="Tahoma"/>
                <w:sz w:val="20"/>
                <w:szCs w:val="20"/>
              </w:rPr>
              <w:t>Comparing numbers and quantities.</w:t>
            </w:r>
          </w:p>
          <w:p w:rsidR="00D57223" w:rsidRPr="00FD4CDE" w:rsidRDefault="00D57223" w:rsidP="00D57223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FD4CDE">
              <w:rPr>
                <w:rFonts w:ascii="Tahoma" w:hAnsi="Tahoma" w:cs="Tahoma"/>
                <w:sz w:val="20"/>
                <w:szCs w:val="20"/>
              </w:rPr>
              <w:t>Decomposing numbers more than one way</w:t>
            </w:r>
          </w:p>
          <w:p w:rsidR="00D57223" w:rsidRPr="00FD4CDE" w:rsidRDefault="00D57223" w:rsidP="00D57223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FD4CDE">
              <w:rPr>
                <w:rFonts w:ascii="Tahoma" w:hAnsi="Tahoma" w:cs="Tahoma"/>
                <w:sz w:val="20"/>
                <w:szCs w:val="20"/>
              </w:rPr>
              <w:t>Making a ten</w:t>
            </w:r>
          </w:p>
          <w:p w:rsidR="00D57223" w:rsidRPr="00FD4CDE" w:rsidRDefault="00D57223" w:rsidP="00D57223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FD4CDE">
              <w:rPr>
                <w:rFonts w:ascii="Tahoma" w:hAnsi="Tahoma" w:cs="Tahoma"/>
                <w:sz w:val="20"/>
                <w:szCs w:val="20"/>
              </w:rPr>
              <w:t>Fluently adding and subtracting to 5</w:t>
            </w:r>
          </w:p>
          <w:p w:rsidR="00D57223" w:rsidRPr="00FD4CDE" w:rsidRDefault="00D57223" w:rsidP="00D57223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FD4CDE">
              <w:rPr>
                <w:rFonts w:ascii="Tahoma" w:hAnsi="Tahoma" w:cs="Tahoma"/>
                <w:sz w:val="20"/>
                <w:szCs w:val="20"/>
              </w:rPr>
              <w:t>Decomposing teen numbers into tens and ones</w:t>
            </w:r>
          </w:p>
          <w:p w:rsidR="00D57223" w:rsidRPr="00FD4CDE" w:rsidRDefault="00D57223" w:rsidP="00D57223">
            <w:pPr>
              <w:rPr>
                <w:sz w:val="20"/>
                <w:szCs w:val="20"/>
              </w:rPr>
            </w:pPr>
          </w:p>
        </w:tc>
      </w:tr>
      <w:tr w:rsidR="00E27455" w:rsidRPr="00350287" w:rsidTr="00E27455">
        <w:trPr>
          <w:trHeight w:val="732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E27455" w:rsidRPr="00FD4CDE" w:rsidRDefault="00E27455" w:rsidP="00FD4CDE">
            <w:pPr>
              <w:rPr>
                <w:b/>
                <w:sz w:val="20"/>
                <w:szCs w:val="20"/>
                <w:u w:val="single"/>
              </w:rPr>
            </w:pPr>
            <w:r w:rsidRPr="00FD4CDE">
              <w:rPr>
                <w:b/>
                <w:sz w:val="20"/>
                <w:szCs w:val="20"/>
                <w:u w:val="single"/>
              </w:rPr>
              <w:t>Measurement</w:t>
            </w:r>
          </w:p>
          <w:p w:rsidR="00E27455" w:rsidRPr="00FD4CDE" w:rsidRDefault="00E27455" w:rsidP="00E27455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E27455" w:rsidRPr="00FD4CDE" w:rsidRDefault="00E27455" w:rsidP="00FD4CDE">
            <w:pPr>
              <w:rPr>
                <w:b/>
                <w:sz w:val="20"/>
                <w:szCs w:val="20"/>
                <w:u w:val="single"/>
              </w:rPr>
            </w:pPr>
            <w:r w:rsidRPr="00FD4CDE">
              <w:rPr>
                <w:b/>
                <w:sz w:val="20"/>
                <w:szCs w:val="20"/>
                <w:u w:val="single"/>
              </w:rPr>
              <w:t>Measurement</w:t>
            </w:r>
          </w:p>
          <w:p w:rsidR="00E27455" w:rsidRPr="00FD4CDE" w:rsidRDefault="00E27455" w:rsidP="00E27455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FD4CDE">
              <w:rPr>
                <w:rFonts w:ascii="Tahoma" w:hAnsi="Tahoma" w:cs="Tahoma"/>
                <w:sz w:val="20"/>
                <w:szCs w:val="20"/>
              </w:rPr>
              <w:t xml:space="preserve">Measurement as direct comparison </w:t>
            </w:r>
          </w:p>
          <w:p w:rsidR="00E27455" w:rsidRPr="00FD4CDE" w:rsidRDefault="00E27455" w:rsidP="00E27455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D57223" w:rsidRPr="00FD4CDE" w:rsidRDefault="00D57223" w:rsidP="00E27455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</w:tr>
      <w:tr w:rsidR="00E27455" w:rsidRPr="00350287" w:rsidTr="00FD4CDE">
        <w:trPr>
          <w:trHeight w:val="12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E27455" w:rsidRPr="00FD4CDE" w:rsidRDefault="00E27455" w:rsidP="00FD4CDE">
            <w:pPr>
              <w:rPr>
                <w:b/>
                <w:sz w:val="20"/>
                <w:szCs w:val="20"/>
                <w:u w:val="single"/>
              </w:rPr>
            </w:pPr>
            <w:r w:rsidRPr="00FD4CDE">
              <w:rPr>
                <w:b/>
                <w:sz w:val="20"/>
                <w:szCs w:val="20"/>
                <w:u w:val="single"/>
              </w:rPr>
              <w:t>Geometry</w:t>
            </w:r>
          </w:p>
          <w:p w:rsidR="00E27455" w:rsidRPr="00FD4CDE" w:rsidRDefault="00E27455" w:rsidP="00E27455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FD4CDE">
              <w:rPr>
                <w:rFonts w:ascii="Tahoma" w:hAnsi="Tahoma" w:cs="Tahoma"/>
                <w:sz w:val="20"/>
                <w:szCs w:val="20"/>
              </w:rPr>
              <w:t>Symmetry</w:t>
            </w:r>
          </w:p>
          <w:p w:rsidR="00E27455" w:rsidRPr="00FD4CDE" w:rsidRDefault="00E27455" w:rsidP="00E27455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E27455" w:rsidRPr="00FD4CDE" w:rsidRDefault="00E27455" w:rsidP="00FD4CDE">
            <w:pPr>
              <w:rPr>
                <w:b/>
                <w:sz w:val="20"/>
                <w:szCs w:val="20"/>
                <w:u w:val="single"/>
              </w:rPr>
            </w:pPr>
            <w:r w:rsidRPr="00FD4CDE">
              <w:rPr>
                <w:b/>
                <w:sz w:val="20"/>
                <w:szCs w:val="20"/>
                <w:u w:val="single"/>
              </w:rPr>
              <w:t>Geometry</w:t>
            </w:r>
          </w:p>
          <w:p w:rsidR="00E27455" w:rsidRPr="00FD4CDE" w:rsidRDefault="00E27455" w:rsidP="00E27455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FD4CDE">
              <w:rPr>
                <w:rFonts w:ascii="Tahoma" w:hAnsi="Tahoma" w:cs="Tahoma"/>
                <w:sz w:val="20"/>
                <w:szCs w:val="20"/>
              </w:rPr>
              <w:t>Composing shapes to make larger shapes.</w:t>
            </w:r>
          </w:p>
          <w:p w:rsidR="00E27455" w:rsidRPr="00FD4CDE" w:rsidRDefault="00E27455" w:rsidP="00E27455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FD4CDE">
              <w:rPr>
                <w:rFonts w:ascii="Tahoma" w:hAnsi="Tahoma" w:cs="Tahoma"/>
                <w:sz w:val="20"/>
                <w:szCs w:val="20"/>
              </w:rPr>
              <w:t xml:space="preserve">Naming shapes regardless of orientation </w:t>
            </w:r>
          </w:p>
          <w:p w:rsidR="00E27455" w:rsidRPr="00FD4CDE" w:rsidRDefault="00E27455" w:rsidP="00FD4CDE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FD4CDE">
              <w:rPr>
                <w:rFonts w:ascii="Tahoma" w:hAnsi="Tahoma" w:cs="Tahoma"/>
                <w:sz w:val="20"/>
                <w:szCs w:val="20"/>
              </w:rPr>
              <w:t>Comparing two- and three-dimensional shapes in different sizes and orientations</w:t>
            </w:r>
          </w:p>
        </w:tc>
      </w:tr>
      <w:tr w:rsidR="00E27455" w:rsidRPr="00350287" w:rsidTr="00E27455">
        <w:trPr>
          <w:trHeight w:val="732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E27455" w:rsidRPr="00FD4CDE" w:rsidRDefault="00E27455" w:rsidP="00FD4CDE">
            <w:pPr>
              <w:rPr>
                <w:b/>
                <w:sz w:val="20"/>
                <w:szCs w:val="20"/>
                <w:u w:val="single"/>
              </w:rPr>
            </w:pPr>
            <w:r w:rsidRPr="00FD4CDE">
              <w:rPr>
                <w:b/>
                <w:sz w:val="20"/>
                <w:szCs w:val="20"/>
                <w:u w:val="single"/>
              </w:rPr>
              <w:lastRenderedPageBreak/>
              <w:t>Algebraic Concepts</w:t>
            </w:r>
          </w:p>
          <w:p w:rsidR="00E27455" w:rsidRPr="00FD4CDE" w:rsidRDefault="00E27455" w:rsidP="00E27455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FD4CDE">
              <w:rPr>
                <w:rFonts w:ascii="Tahoma" w:hAnsi="Tahoma" w:cs="Tahoma"/>
                <w:sz w:val="20"/>
                <w:szCs w:val="20"/>
              </w:rPr>
              <w:t>Number and geometric patterns in isolation.</w:t>
            </w:r>
          </w:p>
          <w:p w:rsidR="00E27455" w:rsidRPr="00FD4CDE" w:rsidRDefault="00E27455" w:rsidP="00E27455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E27455" w:rsidRPr="00FD4CDE" w:rsidRDefault="00E27455" w:rsidP="00FD4CDE">
            <w:pPr>
              <w:rPr>
                <w:b/>
                <w:sz w:val="20"/>
                <w:szCs w:val="20"/>
                <w:u w:val="single"/>
              </w:rPr>
            </w:pPr>
            <w:r w:rsidRPr="00FD4CDE">
              <w:rPr>
                <w:b/>
                <w:sz w:val="20"/>
                <w:szCs w:val="20"/>
                <w:u w:val="single"/>
              </w:rPr>
              <w:t>Algebraic Concepts</w:t>
            </w:r>
          </w:p>
          <w:p w:rsidR="00E27455" w:rsidRPr="00FD4CDE" w:rsidRDefault="00E27455" w:rsidP="00E27455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</w:tc>
      </w:tr>
      <w:tr w:rsidR="00E27455" w:rsidRPr="00350287" w:rsidTr="00E27455">
        <w:trPr>
          <w:trHeight w:val="732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E27455" w:rsidRPr="00FD4CDE" w:rsidRDefault="00E27455" w:rsidP="00FD4CDE">
            <w:pPr>
              <w:rPr>
                <w:b/>
                <w:sz w:val="20"/>
                <w:szCs w:val="20"/>
                <w:u w:val="single"/>
              </w:rPr>
            </w:pPr>
            <w:r w:rsidRPr="00FD4CDE">
              <w:rPr>
                <w:b/>
                <w:sz w:val="20"/>
                <w:szCs w:val="20"/>
                <w:u w:val="single"/>
              </w:rPr>
              <w:t>Data Analysis and Probability</w:t>
            </w:r>
          </w:p>
          <w:p w:rsidR="00E27455" w:rsidRPr="00FD4CDE" w:rsidRDefault="00E27455" w:rsidP="00E27455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FD4CDE">
              <w:rPr>
                <w:rFonts w:ascii="Tahoma" w:hAnsi="Tahoma" w:cs="Tahoma"/>
                <w:sz w:val="20"/>
                <w:szCs w:val="20"/>
              </w:rPr>
              <w:t>While graphs can be used as tools for counting, addition and subtraction, there is not an emphasis on gathering data and constructing graphs.</w:t>
            </w:r>
          </w:p>
          <w:p w:rsidR="00E27455" w:rsidRPr="00FD4CDE" w:rsidRDefault="00E27455" w:rsidP="00E27455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FD4CDE">
              <w:rPr>
                <w:rFonts w:ascii="Tahoma" w:hAnsi="Tahoma" w:cs="Tahoma"/>
                <w:sz w:val="20"/>
                <w:szCs w:val="20"/>
              </w:rPr>
              <w:t>Probability</w:t>
            </w:r>
          </w:p>
          <w:p w:rsidR="00E27455" w:rsidRPr="00FD4CDE" w:rsidRDefault="00E27455" w:rsidP="00E27455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E27455" w:rsidRPr="00FD4CDE" w:rsidRDefault="00E27455" w:rsidP="00FD4CDE">
            <w:pPr>
              <w:rPr>
                <w:b/>
                <w:sz w:val="20"/>
                <w:szCs w:val="20"/>
                <w:u w:val="single"/>
              </w:rPr>
            </w:pPr>
            <w:r w:rsidRPr="00FD4CDE">
              <w:rPr>
                <w:b/>
                <w:sz w:val="20"/>
                <w:szCs w:val="20"/>
                <w:u w:val="single"/>
              </w:rPr>
              <w:t>Data Analysis and Probability</w:t>
            </w:r>
          </w:p>
          <w:p w:rsidR="00E27455" w:rsidRPr="00FD4CDE" w:rsidRDefault="00E27455" w:rsidP="00E27455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F2C22" w:rsidRDefault="00AF2C22" w:rsidP="00350287">
      <w:pPr>
        <w:spacing w:after="0" w:line="240" w:lineRule="auto"/>
      </w:pPr>
    </w:p>
    <w:p w:rsidR="00350287" w:rsidRDefault="00350287" w:rsidP="00350287">
      <w:pPr>
        <w:spacing w:after="0" w:line="240" w:lineRule="auto"/>
      </w:pPr>
    </w:p>
    <w:p w:rsidR="00350287" w:rsidRDefault="00350287" w:rsidP="00350287">
      <w:pPr>
        <w:spacing w:after="0" w:line="240" w:lineRule="auto"/>
      </w:pPr>
    </w:p>
    <w:p w:rsidR="00350287" w:rsidRDefault="00350287" w:rsidP="00350287">
      <w:pPr>
        <w:spacing w:after="0" w:line="240" w:lineRule="auto"/>
      </w:pPr>
    </w:p>
    <w:p w:rsidR="00350287" w:rsidRDefault="00350287" w:rsidP="00350287">
      <w:pPr>
        <w:spacing w:after="0" w:line="240" w:lineRule="auto"/>
      </w:pPr>
    </w:p>
    <w:p w:rsidR="00350287" w:rsidRDefault="00350287" w:rsidP="00350287">
      <w:pPr>
        <w:spacing w:after="0" w:line="240" w:lineRule="auto"/>
      </w:pPr>
    </w:p>
    <w:sectPr w:rsidR="00350287" w:rsidSect="004958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546" w:rsidRPr="00715A89" w:rsidRDefault="00883546" w:rsidP="00FD4CDE">
      <w:pPr>
        <w:spacing w:after="0" w:line="240" w:lineRule="auto"/>
        <w:rPr>
          <w:rFonts w:ascii="Times New Roman" w:hAnsi="Times New Roman"/>
          <w:szCs w:val="24"/>
        </w:rPr>
      </w:pPr>
      <w:r>
        <w:separator/>
      </w:r>
    </w:p>
  </w:endnote>
  <w:endnote w:type="continuationSeparator" w:id="0">
    <w:p w:rsidR="00883546" w:rsidRPr="00715A89" w:rsidRDefault="00883546" w:rsidP="00FD4CDE">
      <w:pPr>
        <w:spacing w:after="0" w:line="240" w:lineRule="auto"/>
        <w:rPr>
          <w:rFonts w:ascii="Times New Roman" w:hAnsi="Times New Roman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nev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809" w:rsidRDefault="004958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CDE" w:rsidRPr="008130AE" w:rsidRDefault="00FD4CDE" w:rsidP="00FD4CDE">
    <w:pPr>
      <w:ind w:left="-720" w:right="-720"/>
      <w:rPr>
        <w:rFonts w:ascii="Times New Roman" w:eastAsia="Times New Roman" w:hAnsi="Times New Roman" w:cs="Times New Roman"/>
        <w:b/>
        <w:szCs w:val="24"/>
      </w:rPr>
    </w:pPr>
    <w:r w:rsidRPr="008130AE">
      <w:rPr>
        <w:rStyle w:val="Strong"/>
        <w:b w:val="0"/>
        <w:color w:val="000000"/>
        <w:sz w:val="18"/>
      </w:rPr>
      <w:t xml:space="preserve">The purpose of this document is to provide a summary of changes in emphasis as Pennsylvania transitions from the PA Academic Standards to the Common Core </w:t>
    </w:r>
    <w:r w:rsidR="00437F69">
      <w:rPr>
        <w:rStyle w:val="Strong"/>
        <w:b w:val="0"/>
        <w:color w:val="000000"/>
        <w:sz w:val="18"/>
      </w:rPr>
      <w:t xml:space="preserve">State </w:t>
    </w:r>
    <w:r w:rsidRPr="008130AE">
      <w:rPr>
        <w:rStyle w:val="Strong"/>
        <w:b w:val="0"/>
        <w:color w:val="000000"/>
        <w:sz w:val="18"/>
      </w:rPr>
      <w:t>Standards.  This is not intended to be a curriculum guide – only to identify shifts in emphasis of instruction.</w:t>
    </w:r>
  </w:p>
  <w:p w:rsidR="00FD4CDE" w:rsidRDefault="00FD4CDE">
    <w:pPr>
      <w:pStyle w:val="Footer"/>
    </w:pPr>
  </w:p>
  <w:p w:rsidR="00FD4CDE" w:rsidRDefault="00495809">
    <w:pPr>
      <w:pStyle w:val="Footer"/>
    </w:pPr>
    <w:r>
      <w:tab/>
    </w:r>
    <w:r>
      <w:tab/>
      <w:t>1/31/2011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809" w:rsidRDefault="004958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546" w:rsidRPr="00715A89" w:rsidRDefault="00883546" w:rsidP="00FD4CDE">
      <w:pPr>
        <w:spacing w:after="0" w:line="240" w:lineRule="auto"/>
        <w:rPr>
          <w:rFonts w:ascii="Times New Roman" w:hAnsi="Times New Roman"/>
          <w:szCs w:val="24"/>
        </w:rPr>
      </w:pPr>
      <w:r>
        <w:separator/>
      </w:r>
    </w:p>
  </w:footnote>
  <w:footnote w:type="continuationSeparator" w:id="0">
    <w:p w:rsidR="00883546" w:rsidRPr="00715A89" w:rsidRDefault="00883546" w:rsidP="00FD4CDE">
      <w:pPr>
        <w:spacing w:after="0" w:line="240" w:lineRule="auto"/>
        <w:rPr>
          <w:rFonts w:ascii="Times New Roman" w:hAnsi="Times New Roman"/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809" w:rsidRDefault="004958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809" w:rsidRDefault="00495809" w:rsidP="00495809">
    <w:pPr>
      <w:pStyle w:val="Header"/>
    </w:pPr>
    <w:r w:rsidRPr="00362B2A">
      <w:rPr>
        <w:noProof/>
      </w:rPr>
      <w:drawing>
        <wp:inline distT="0" distB="0" distL="0" distR="0">
          <wp:extent cx="1818168" cy="467804"/>
          <wp:effectExtent l="19050" t="0" r="0" b="0"/>
          <wp:docPr id="17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0175" cy="46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00362B2A">
      <w:rPr>
        <w:noProof/>
      </w:rPr>
      <w:drawing>
        <wp:inline distT="0" distB="0" distL="0" distR="0">
          <wp:extent cx="1671527" cy="398887"/>
          <wp:effectExtent l="19050" t="0" r="4873" b="0"/>
          <wp:docPr id="18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s-logo.gif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76400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5809" w:rsidRPr="00046FD4" w:rsidRDefault="00495809" w:rsidP="00495809">
    <w:pPr>
      <w:jc w:val="center"/>
      <w:rPr>
        <w:b/>
      </w:rPr>
    </w:pPr>
    <w:r w:rsidRPr="00046FD4">
      <w:rPr>
        <w:b/>
      </w:rPr>
      <w:t>Kindergarten</w:t>
    </w:r>
  </w:p>
  <w:p w:rsidR="00437F69" w:rsidRPr="00495809" w:rsidRDefault="00495809" w:rsidP="00495809">
    <w:pPr>
      <w:rPr>
        <w:b/>
      </w:rPr>
    </w:pPr>
    <w:r w:rsidRPr="00FD4CDE">
      <w:rPr>
        <w:b/>
      </w:rPr>
      <w:t xml:space="preserve">As PA transitions to the Common Core Standards, the focus of </w:t>
    </w:r>
    <w:r>
      <w:rPr>
        <w:b/>
      </w:rPr>
      <w:t>Kindergarten</w:t>
    </w:r>
    <w:r w:rsidRPr="00FD4CDE">
      <w:rPr>
        <w:b/>
      </w:rPr>
      <w:t xml:space="preserve"> instruction needs to shift: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809" w:rsidRDefault="004958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F4C02"/>
    <w:multiLevelType w:val="hybridMultilevel"/>
    <w:tmpl w:val="DA3480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4D043E"/>
    <w:multiLevelType w:val="hybridMultilevel"/>
    <w:tmpl w:val="768C4B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D6357DD"/>
    <w:multiLevelType w:val="hybridMultilevel"/>
    <w:tmpl w:val="ED7A12EA"/>
    <w:lvl w:ilvl="0" w:tplc="1D5E0C1A">
      <w:start w:val="1"/>
      <w:numFmt w:val="bullet"/>
      <w:lvlText w:val=""/>
      <w:lvlJc w:val="left"/>
      <w:pPr>
        <w:tabs>
          <w:tab w:val="num" w:pos="159"/>
        </w:tabs>
        <w:ind w:left="159" w:hanging="360"/>
      </w:pPr>
      <w:rPr>
        <w:rFonts w:ascii="Symbol" w:hAnsi="Symbol" w:hint="default"/>
      </w:rPr>
    </w:lvl>
    <w:lvl w:ilvl="1" w:tplc="9932842A" w:tentative="1">
      <w:start w:val="1"/>
      <w:numFmt w:val="bullet"/>
      <w:lvlText w:val=""/>
      <w:lvlJc w:val="left"/>
      <w:pPr>
        <w:tabs>
          <w:tab w:val="num" w:pos="879"/>
        </w:tabs>
        <w:ind w:left="879" w:hanging="360"/>
      </w:pPr>
      <w:rPr>
        <w:rFonts w:ascii="Symbol" w:hAnsi="Symbol" w:hint="default"/>
      </w:rPr>
    </w:lvl>
    <w:lvl w:ilvl="2" w:tplc="A9384F6C" w:tentative="1">
      <w:start w:val="1"/>
      <w:numFmt w:val="bullet"/>
      <w:lvlText w:val=""/>
      <w:lvlJc w:val="left"/>
      <w:pPr>
        <w:tabs>
          <w:tab w:val="num" w:pos="1599"/>
        </w:tabs>
        <w:ind w:left="1599" w:hanging="360"/>
      </w:pPr>
      <w:rPr>
        <w:rFonts w:ascii="Symbol" w:hAnsi="Symbol" w:hint="default"/>
      </w:rPr>
    </w:lvl>
    <w:lvl w:ilvl="3" w:tplc="4AB8FE96" w:tentative="1">
      <w:start w:val="1"/>
      <w:numFmt w:val="bullet"/>
      <w:lvlText w:val=""/>
      <w:lvlJc w:val="left"/>
      <w:pPr>
        <w:tabs>
          <w:tab w:val="num" w:pos="2319"/>
        </w:tabs>
        <w:ind w:left="2319" w:hanging="360"/>
      </w:pPr>
      <w:rPr>
        <w:rFonts w:ascii="Symbol" w:hAnsi="Symbol" w:hint="default"/>
      </w:rPr>
    </w:lvl>
    <w:lvl w:ilvl="4" w:tplc="6C8A5FCE" w:tentative="1">
      <w:start w:val="1"/>
      <w:numFmt w:val="bullet"/>
      <w:lvlText w:val=""/>
      <w:lvlJc w:val="left"/>
      <w:pPr>
        <w:tabs>
          <w:tab w:val="num" w:pos="3039"/>
        </w:tabs>
        <w:ind w:left="3039" w:hanging="360"/>
      </w:pPr>
      <w:rPr>
        <w:rFonts w:ascii="Symbol" w:hAnsi="Symbol" w:hint="default"/>
      </w:rPr>
    </w:lvl>
    <w:lvl w:ilvl="5" w:tplc="FE18A5E0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6" w:tplc="FA728316" w:tentative="1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hint="default"/>
      </w:rPr>
    </w:lvl>
    <w:lvl w:ilvl="7" w:tplc="7ACAFD6C" w:tentative="1">
      <w:start w:val="1"/>
      <w:numFmt w:val="bullet"/>
      <w:lvlText w:val=""/>
      <w:lvlJc w:val="left"/>
      <w:pPr>
        <w:tabs>
          <w:tab w:val="num" w:pos="5199"/>
        </w:tabs>
        <w:ind w:left="5199" w:hanging="360"/>
      </w:pPr>
      <w:rPr>
        <w:rFonts w:ascii="Symbol" w:hAnsi="Symbol" w:hint="default"/>
      </w:rPr>
    </w:lvl>
    <w:lvl w:ilvl="8" w:tplc="E4ECBF86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</w:abstractNum>
  <w:abstractNum w:abstractNumId="3">
    <w:nsid w:val="657D46A3"/>
    <w:multiLevelType w:val="hybridMultilevel"/>
    <w:tmpl w:val="6688C8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E5621AB"/>
    <w:multiLevelType w:val="hybridMultilevel"/>
    <w:tmpl w:val="AFF606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1760AD4"/>
    <w:multiLevelType w:val="hybridMultilevel"/>
    <w:tmpl w:val="B10834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A625586"/>
    <w:multiLevelType w:val="hybridMultilevel"/>
    <w:tmpl w:val="1FF8E066"/>
    <w:lvl w:ilvl="0" w:tplc="DACE89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EC8F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24DC0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4501A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8488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3E9D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BCE6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28F5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F694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87"/>
    <w:rsid w:val="00046FD4"/>
    <w:rsid w:val="0027242B"/>
    <w:rsid w:val="00350287"/>
    <w:rsid w:val="003A329B"/>
    <w:rsid w:val="00437F69"/>
    <w:rsid w:val="00495809"/>
    <w:rsid w:val="004A1C0E"/>
    <w:rsid w:val="005A106E"/>
    <w:rsid w:val="006D2AFB"/>
    <w:rsid w:val="006F200D"/>
    <w:rsid w:val="00775B8C"/>
    <w:rsid w:val="00785A3F"/>
    <w:rsid w:val="007C0046"/>
    <w:rsid w:val="00883546"/>
    <w:rsid w:val="00892BB9"/>
    <w:rsid w:val="008E01C1"/>
    <w:rsid w:val="00923E11"/>
    <w:rsid w:val="00A1171A"/>
    <w:rsid w:val="00A7793A"/>
    <w:rsid w:val="00A94A3D"/>
    <w:rsid w:val="00AB6B36"/>
    <w:rsid w:val="00AF2C22"/>
    <w:rsid w:val="00B7765D"/>
    <w:rsid w:val="00D57223"/>
    <w:rsid w:val="00D75CB6"/>
    <w:rsid w:val="00DC7B79"/>
    <w:rsid w:val="00E27455"/>
    <w:rsid w:val="00E90EE6"/>
    <w:rsid w:val="00EC4FBD"/>
    <w:rsid w:val="00EF3A81"/>
    <w:rsid w:val="00FD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C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0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3502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D4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4CDE"/>
  </w:style>
  <w:style w:type="paragraph" w:styleId="Footer">
    <w:name w:val="footer"/>
    <w:basedOn w:val="Normal"/>
    <w:link w:val="FooterChar"/>
    <w:uiPriority w:val="99"/>
    <w:unhideWhenUsed/>
    <w:rsid w:val="00FD4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CDE"/>
  </w:style>
  <w:style w:type="paragraph" w:styleId="BalloonText">
    <w:name w:val="Balloon Text"/>
    <w:basedOn w:val="Normal"/>
    <w:link w:val="BalloonTextChar"/>
    <w:uiPriority w:val="99"/>
    <w:semiHidden/>
    <w:unhideWhenUsed/>
    <w:rsid w:val="00FD4CDE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CDE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FD4C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C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0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3502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D4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4CDE"/>
  </w:style>
  <w:style w:type="paragraph" w:styleId="Footer">
    <w:name w:val="footer"/>
    <w:basedOn w:val="Normal"/>
    <w:link w:val="FooterChar"/>
    <w:uiPriority w:val="99"/>
    <w:unhideWhenUsed/>
    <w:rsid w:val="00FD4C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CDE"/>
  </w:style>
  <w:style w:type="paragraph" w:styleId="BalloonText">
    <w:name w:val="Balloon Text"/>
    <w:basedOn w:val="Normal"/>
    <w:link w:val="BalloonTextChar"/>
    <w:uiPriority w:val="99"/>
    <w:semiHidden/>
    <w:unhideWhenUsed/>
    <w:rsid w:val="00FD4CDE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CDE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FD4C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8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7131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81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74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832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16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7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1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72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6493">
          <w:marLeft w:val="547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03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1187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Thomas Knepper</cp:lastModifiedBy>
  <cp:revision>2</cp:revision>
  <dcterms:created xsi:type="dcterms:W3CDTF">2012-02-03T14:52:00Z</dcterms:created>
  <dcterms:modified xsi:type="dcterms:W3CDTF">2012-02-03T14:52:00Z</dcterms:modified>
</cp:coreProperties>
</file>